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28" w:rsidRPr="00473F8C" w:rsidRDefault="00064C28" w:rsidP="00473F8C">
      <w:pPr>
        <w:spacing w:line="600" w:lineRule="exact"/>
        <w:rPr>
          <w:rFonts w:ascii="仿宋" w:eastAsia="仿宋" w:hAnsi="仿宋" w:cs="方正大标宋_GBK"/>
          <w:sz w:val="32"/>
          <w:szCs w:val="32"/>
        </w:rPr>
      </w:pPr>
      <w:r w:rsidRPr="00473F8C">
        <w:rPr>
          <w:rFonts w:ascii="仿宋" w:eastAsia="仿宋" w:hAnsi="仿宋" w:cs="方正大标宋_GBK" w:hint="eastAsia"/>
          <w:sz w:val="32"/>
          <w:szCs w:val="32"/>
        </w:rPr>
        <w:t>附件</w:t>
      </w:r>
      <w:r w:rsidRPr="00473F8C">
        <w:rPr>
          <w:rFonts w:ascii="仿宋" w:eastAsia="仿宋" w:hAnsi="仿宋" w:cs="方正大标宋_GBK"/>
          <w:sz w:val="32"/>
          <w:szCs w:val="32"/>
        </w:rPr>
        <w:t>1</w:t>
      </w:r>
    </w:p>
    <w:p w:rsidR="00064C28" w:rsidRDefault="00064C28" w:rsidP="004C4C8A">
      <w:pPr>
        <w:spacing w:line="600" w:lineRule="exact"/>
        <w:ind w:firstLineChars="200" w:firstLine="31680"/>
        <w:jc w:val="center"/>
        <w:rPr>
          <w:rFonts w:ascii="方正大标宋_GBK" w:eastAsia="方正大标宋_GBK" w:hAnsi="方正大标宋_GBK" w:cs="方正大标宋_GBK"/>
          <w:sz w:val="44"/>
          <w:szCs w:val="44"/>
        </w:rPr>
      </w:pPr>
      <w:r>
        <w:rPr>
          <w:rFonts w:ascii="方正大标宋_GBK" w:eastAsia="方正大标宋_GBK" w:hAnsi="方正大标宋_GBK" w:cs="方正大标宋_GBK"/>
          <w:sz w:val="44"/>
          <w:szCs w:val="44"/>
        </w:rPr>
        <w:t>2017</w:t>
      </w:r>
      <w:r>
        <w:rPr>
          <w:rFonts w:ascii="方正大标宋_GBK" w:eastAsia="方正大标宋_GBK" w:hAnsi="方正大标宋_GBK" w:cs="方正大标宋_GBK" w:hint="eastAsia"/>
          <w:sz w:val="44"/>
          <w:szCs w:val="44"/>
        </w:rPr>
        <w:t>年度河南省政府决策研究招标</w:t>
      </w:r>
    </w:p>
    <w:p w:rsidR="00064C28" w:rsidRDefault="00064C28" w:rsidP="004C4C8A">
      <w:pPr>
        <w:spacing w:line="600" w:lineRule="exact"/>
        <w:ind w:firstLineChars="200" w:firstLine="31680"/>
        <w:jc w:val="center"/>
        <w:rPr>
          <w:rFonts w:ascii="方正大标宋_GBK" w:eastAsia="方正大标宋_GBK" w:hAnsi="方正大标宋_GBK" w:cs="方正大标宋_GBK"/>
          <w:sz w:val="44"/>
          <w:szCs w:val="44"/>
        </w:rPr>
      </w:pPr>
      <w:r>
        <w:rPr>
          <w:rFonts w:ascii="方正大标宋_GBK" w:eastAsia="方正大标宋_GBK" w:hAnsi="方正大标宋_GBK" w:cs="方正大标宋_GBK" w:hint="eastAsia"/>
          <w:sz w:val="44"/>
          <w:szCs w:val="44"/>
        </w:rPr>
        <w:t>课题指南</w:t>
      </w:r>
    </w:p>
    <w:p w:rsidR="00064C28" w:rsidRDefault="00064C28" w:rsidP="004C4C8A">
      <w:pPr>
        <w:spacing w:line="600" w:lineRule="exact"/>
        <w:ind w:firstLineChars="200" w:firstLine="31680"/>
        <w:rPr>
          <w:rFonts w:ascii="方正大标宋_GBK" w:eastAsia="方正大标宋_GBK" w:hAnsi="方正大标宋_GBK" w:cs="方正大标宋_GBK"/>
          <w:sz w:val="44"/>
          <w:szCs w:val="44"/>
        </w:rPr>
      </w:pPr>
      <w:r>
        <w:rPr>
          <w:rFonts w:ascii="方正大标宋_GBK" w:eastAsia="方正大标宋_GBK" w:hAnsi="方正大标宋_GBK" w:cs="方正大标宋_GBK"/>
          <w:sz w:val="44"/>
          <w:szCs w:val="44"/>
        </w:rPr>
        <w:t xml:space="preserve">                   </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hint="eastAsia"/>
          <w:sz w:val="32"/>
          <w:szCs w:val="32"/>
        </w:rPr>
        <w:t>说明：课题申报者请紧紧围绕《课题指南》指定的研究范围和研究方向，结合自身研究领域，确定研究题目。</w:t>
      </w:r>
    </w:p>
    <w:p w:rsidR="00064C28" w:rsidRDefault="00064C28" w:rsidP="004C4C8A">
      <w:pPr>
        <w:spacing w:line="600" w:lineRule="exact"/>
        <w:ind w:firstLineChars="200" w:firstLine="31680"/>
        <w:rPr>
          <w:rFonts w:ascii="黑体" w:eastAsia="黑体" w:hAnsi="黑体"/>
          <w:sz w:val="32"/>
          <w:szCs w:val="32"/>
        </w:rPr>
      </w:pPr>
      <w:r>
        <w:rPr>
          <w:rFonts w:ascii="黑体" w:eastAsia="黑体" w:hAnsi="黑体" w:hint="eastAsia"/>
          <w:sz w:val="32"/>
          <w:szCs w:val="32"/>
        </w:rPr>
        <w:t>一、一般课题</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新方位下河南开放发展路径选择</w:t>
      </w:r>
      <w:r>
        <w:rPr>
          <w:rFonts w:ascii="仿宋" w:eastAsia="仿宋" w:hAnsi="仿宋" w:cs="仿宋"/>
          <w:sz w:val="32"/>
          <w:szCs w:val="32"/>
        </w:rPr>
        <w:tab/>
        <w:t xml:space="preserve"> </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打好“四张牌”战略与对策研究</w:t>
      </w:r>
    </w:p>
    <w:p w:rsidR="00064C28" w:rsidRPr="005A7350" w:rsidRDefault="00064C28" w:rsidP="004C4C8A">
      <w:pPr>
        <w:spacing w:line="600" w:lineRule="exact"/>
        <w:ind w:firstLineChars="200" w:firstLine="31680"/>
        <w:rPr>
          <w:rFonts w:ascii="仿宋" w:eastAsia="仿宋" w:hAnsi="仿宋" w:cs="仿宋"/>
          <w:sz w:val="28"/>
          <w:szCs w:val="28"/>
        </w:rPr>
      </w:pPr>
      <w:r w:rsidRPr="005A7350">
        <w:rPr>
          <w:rFonts w:ascii="仿宋" w:eastAsia="仿宋" w:hAnsi="仿宋" w:cs="仿宋" w:hint="eastAsia"/>
          <w:sz w:val="28"/>
          <w:szCs w:val="28"/>
        </w:rPr>
        <w:t>（“四张牌”为以发展优势产业为主导推进产业结构优化升级、以构建自主创新体系为主导推进创新驱动发展、以强化基础能力建设为主导推进培育发展新优势、以人为核心推进新型城镇化</w:t>
      </w:r>
      <w:r w:rsidRPr="005A7350">
        <w:rPr>
          <w:rFonts w:ascii="仿宋" w:eastAsia="仿宋" w:hAnsi="仿宋" w:cs="仿宋"/>
          <w:sz w:val="28"/>
          <w:szCs w:val="28"/>
        </w:rPr>
        <w:t xml:space="preserve"> </w:t>
      </w:r>
      <w:r w:rsidRPr="005A7350">
        <w:rPr>
          <w:rFonts w:ascii="仿宋" w:eastAsia="仿宋" w:hAnsi="仿宋" w:cs="仿宋" w:hint="eastAsia"/>
          <w:sz w:val="28"/>
          <w:szCs w:val="28"/>
        </w:rPr>
        <w:t>）</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打造“三个高地”战略与对策研究</w:t>
      </w:r>
    </w:p>
    <w:p w:rsidR="00064C28" w:rsidRPr="005A7350" w:rsidRDefault="00064C28" w:rsidP="004C4C8A">
      <w:pPr>
        <w:spacing w:line="600" w:lineRule="exact"/>
        <w:ind w:firstLineChars="200" w:firstLine="31680"/>
        <w:rPr>
          <w:rFonts w:ascii="仿宋" w:eastAsia="仿宋" w:hAnsi="仿宋" w:cs="仿宋"/>
          <w:sz w:val="28"/>
          <w:szCs w:val="28"/>
        </w:rPr>
      </w:pPr>
      <w:r w:rsidRPr="005A7350">
        <w:rPr>
          <w:rFonts w:ascii="仿宋" w:eastAsia="仿宋" w:hAnsi="仿宋" w:cs="仿宋" w:hint="eastAsia"/>
          <w:sz w:val="28"/>
          <w:szCs w:val="28"/>
        </w:rPr>
        <w:t>（“三个高地”为中西部地区科技创新高地、内陆开放高地、全国重要的文化高地）</w:t>
      </w:r>
      <w:r w:rsidRPr="005A7350">
        <w:rPr>
          <w:rFonts w:ascii="仿宋" w:eastAsia="仿宋" w:hAnsi="仿宋" w:cs="仿宋"/>
          <w:sz w:val="28"/>
          <w:szCs w:val="28"/>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建设“四个强省”战略与对策研究</w:t>
      </w:r>
    </w:p>
    <w:p w:rsidR="00064C28" w:rsidRPr="005A7350" w:rsidRDefault="00064C28" w:rsidP="004C4C8A">
      <w:pPr>
        <w:spacing w:line="600" w:lineRule="exact"/>
        <w:ind w:firstLineChars="200" w:firstLine="31680"/>
        <w:rPr>
          <w:rFonts w:ascii="仿宋" w:eastAsia="仿宋" w:hAnsi="仿宋" w:cs="仿宋"/>
          <w:sz w:val="28"/>
          <w:szCs w:val="28"/>
        </w:rPr>
      </w:pPr>
      <w:r w:rsidRPr="005A7350">
        <w:rPr>
          <w:rFonts w:ascii="仿宋" w:eastAsia="仿宋" w:hAnsi="仿宋" w:cs="仿宋" w:hint="eastAsia"/>
          <w:sz w:val="28"/>
          <w:szCs w:val="28"/>
        </w:rPr>
        <w:t>（“四个强省”为先进制造业强省、现代服务业强省、现代农业强省和网络经济强省）</w:t>
      </w:r>
      <w:r w:rsidRPr="005A7350">
        <w:rPr>
          <w:rFonts w:ascii="仿宋" w:eastAsia="仿宋" w:hAnsi="仿宋" w:cs="仿宋"/>
          <w:sz w:val="28"/>
          <w:szCs w:val="28"/>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后地产时代河南培育经济增长点研究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促进河南省非公经济发展的对策建议</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河南省区域结构变动趋势研究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新常态下县域经济发展面临的形势与选择</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做大做强新经济对策研究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10.</w:t>
      </w:r>
      <w:r>
        <w:rPr>
          <w:rFonts w:ascii="仿宋" w:eastAsia="仿宋" w:hAnsi="仿宋" w:cs="仿宋" w:hint="eastAsia"/>
          <w:sz w:val="32"/>
          <w:szCs w:val="32"/>
        </w:rPr>
        <w:t>大气污染防治与经济平稳增长关系研究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11.</w:t>
      </w:r>
      <w:r>
        <w:rPr>
          <w:rFonts w:ascii="仿宋" w:eastAsia="仿宋" w:hAnsi="仿宋" w:cs="仿宋" w:hint="eastAsia"/>
          <w:sz w:val="32"/>
          <w:szCs w:val="32"/>
        </w:rPr>
        <w:t>雄安新区建设对我国区域格局的影响及河南的对策</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12.</w:t>
      </w:r>
      <w:r>
        <w:rPr>
          <w:rFonts w:ascii="仿宋" w:eastAsia="仿宋" w:hAnsi="仿宋" w:cs="仿宋" w:hint="eastAsia"/>
          <w:sz w:val="32"/>
          <w:szCs w:val="32"/>
        </w:rPr>
        <w:t>米字高铁框架下郑州与周边城市融合互动发展研究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13.</w:t>
      </w:r>
      <w:r>
        <w:rPr>
          <w:rFonts w:ascii="仿宋" w:eastAsia="仿宋" w:hAnsi="仿宋" w:cs="仿宋" w:hint="eastAsia"/>
          <w:sz w:val="32"/>
          <w:szCs w:val="32"/>
        </w:rPr>
        <w:t>“一带一路”节点城市合作发展问题研究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14.</w:t>
      </w:r>
      <w:r>
        <w:rPr>
          <w:rFonts w:ascii="仿宋" w:eastAsia="仿宋" w:hAnsi="仿宋" w:cs="仿宋" w:hint="eastAsia"/>
          <w:sz w:val="32"/>
          <w:szCs w:val="32"/>
        </w:rPr>
        <w:t>建设郑州国家中心城市助推河南整体发展研究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15.</w:t>
      </w:r>
      <w:r>
        <w:rPr>
          <w:rFonts w:ascii="仿宋" w:eastAsia="仿宋" w:hAnsi="仿宋" w:cs="仿宋" w:hint="eastAsia"/>
          <w:sz w:val="32"/>
          <w:szCs w:val="32"/>
        </w:rPr>
        <w:t>河南自贸区创新发展路径研究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16.</w:t>
      </w:r>
      <w:r>
        <w:rPr>
          <w:rFonts w:ascii="仿宋" w:eastAsia="仿宋" w:hAnsi="仿宋" w:cs="仿宋" w:hint="eastAsia"/>
          <w:sz w:val="32"/>
          <w:szCs w:val="32"/>
        </w:rPr>
        <w:t>河南振兴实体经济研究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17.</w:t>
      </w:r>
      <w:r>
        <w:rPr>
          <w:rFonts w:ascii="仿宋" w:eastAsia="仿宋" w:hAnsi="仿宋" w:cs="仿宋" w:hint="eastAsia"/>
          <w:sz w:val="32"/>
          <w:szCs w:val="32"/>
        </w:rPr>
        <w:t>河南加快服务业对外开放研究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18.</w:t>
      </w:r>
      <w:r>
        <w:rPr>
          <w:rFonts w:ascii="仿宋" w:eastAsia="仿宋" w:hAnsi="仿宋" w:cs="仿宋" w:hint="eastAsia"/>
          <w:sz w:val="32"/>
          <w:szCs w:val="32"/>
        </w:rPr>
        <w:t>河南省减税降费提高企业获得感实证研究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19.</w:t>
      </w:r>
      <w:r>
        <w:rPr>
          <w:rFonts w:ascii="仿宋" w:eastAsia="仿宋" w:hAnsi="仿宋" w:cs="仿宋" w:hint="eastAsia"/>
          <w:sz w:val="32"/>
          <w:szCs w:val="32"/>
        </w:rPr>
        <w:t>河南省“去降补”过程中社会风险源研判与风险防控</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20.</w:t>
      </w:r>
      <w:r>
        <w:rPr>
          <w:rFonts w:ascii="仿宋" w:eastAsia="仿宋" w:hAnsi="仿宋" w:cs="仿宋" w:hint="eastAsia"/>
          <w:sz w:val="32"/>
          <w:szCs w:val="32"/>
        </w:rPr>
        <w:t>供给侧改革背景下河南省国有企业改革策略研究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21.</w:t>
      </w:r>
      <w:r>
        <w:rPr>
          <w:rFonts w:ascii="仿宋" w:eastAsia="仿宋" w:hAnsi="仿宋" w:cs="仿宋" w:hint="eastAsia"/>
          <w:sz w:val="32"/>
          <w:szCs w:val="32"/>
        </w:rPr>
        <w:t>基于创新驱动的河南省产业结构优化升级对策研究</w:t>
      </w:r>
      <w:r>
        <w:rPr>
          <w:rFonts w:ascii="仿宋" w:eastAsia="仿宋" w:hAnsi="仿宋" w:cs="仿宋"/>
          <w:sz w:val="32"/>
          <w:szCs w:val="32"/>
        </w:rPr>
        <w:tab/>
        <w:t xml:space="preserve"> 22.</w:t>
      </w:r>
      <w:r>
        <w:rPr>
          <w:rFonts w:ascii="仿宋" w:eastAsia="仿宋" w:hAnsi="仿宋" w:cs="仿宋" w:hint="eastAsia"/>
          <w:sz w:val="32"/>
          <w:szCs w:val="32"/>
        </w:rPr>
        <w:t>经济新常态下河南省产业集聚区转型升级研究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23.</w:t>
      </w:r>
      <w:r>
        <w:rPr>
          <w:rFonts w:ascii="仿宋" w:eastAsia="仿宋" w:hAnsi="仿宋" w:cs="仿宋" w:hint="eastAsia"/>
          <w:sz w:val="32"/>
          <w:szCs w:val="32"/>
        </w:rPr>
        <w:t>加快推进中国</w:t>
      </w:r>
      <w:r>
        <w:rPr>
          <w:rFonts w:ascii="仿宋" w:eastAsia="仿宋" w:hAnsi="仿宋" w:cs="仿宋"/>
          <w:sz w:val="32"/>
          <w:szCs w:val="32"/>
        </w:rPr>
        <w:t>(</w:t>
      </w:r>
      <w:r>
        <w:rPr>
          <w:rFonts w:ascii="仿宋" w:eastAsia="仿宋" w:hAnsi="仿宋" w:cs="仿宋" w:hint="eastAsia"/>
          <w:sz w:val="32"/>
          <w:szCs w:val="32"/>
        </w:rPr>
        <w:t>郑州</w:t>
      </w:r>
      <w:r>
        <w:rPr>
          <w:rFonts w:ascii="仿宋" w:eastAsia="仿宋" w:hAnsi="仿宋" w:cs="仿宋"/>
          <w:sz w:val="32"/>
          <w:szCs w:val="32"/>
        </w:rPr>
        <w:t>)</w:t>
      </w:r>
      <w:r>
        <w:rPr>
          <w:rFonts w:ascii="仿宋" w:eastAsia="仿宋" w:hAnsi="仿宋" w:cs="仿宋" w:hint="eastAsia"/>
          <w:sz w:val="32"/>
          <w:szCs w:val="32"/>
        </w:rPr>
        <w:t>跨境电子商务综合试验区建设研究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24.</w:t>
      </w:r>
      <w:r>
        <w:rPr>
          <w:rFonts w:ascii="仿宋" w:eastAsia="仿宋" w:hAnsi="仿宋" w:cs="仿宋" w:hint="eastAsia"/>
          <w:sz w:val="32"/>
          <w:szCs w:val="32"/>
        </w:rPr>
        <w:t>中原城市群核心区产业整合与对接研究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25.</w:t>
      </w:r>
      <w:r>
        <w:rPr>
          <w:rFonts w:ascii="仿宋" w:eastAsia="仿宋" w:hAnsi="仿宋" w:cs="仿宋" w:hint="eastAsia"/>
          <w:sz w:val="32"/>
          <w:szCs w:val="32"/>
        </w:rPr>
        <w:t>自贸区建设背景下河南省提升承接产业转移素质研究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26.</w:t>
      </w:r>
      <w:r>
        <w:rPr>
          <w:rFonts w:ascii="仿宋" w:eastAsia="仿宋" w:hAnsi="仿宋" w:cs="仿宋" w:hint="eastAsia"/>
          <w:sz w:val="32"/>
          <w:szCs w:val="32"/>
        </w:rPr>
        <w:t>河南省智能装备制造业发展现状及其对策</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27.</w:t>
      </w:r>
      <w:r>
        <w:rPr>
          <w:rFonts w:ascii="仿宋" w:eastAsia="仿宋" w:hAnsi="仿宋" w:cs="仿宋" w:hint="eastAsia"/>
          <w:sz w:val="32"/>
          <w:szCs w:val="32"/>
        </w:rPr>
        <w:t>河南加快建设国家级大数据试验区的路径与对策研究</w:t>
      </w:r>
      <w:r>
        <w:rPr>
          <w:rFonts w:ascii="仿宋" w:eastAsia="仿宋" w:hAnsi="仿宋" w:cs="仿宋"/>
          <w:sz w:val="32"/>
          <w:szCs w:val="32"/>
        </w:rPr>
        <w:t xml:space="preserve">  </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28.</w:t>
      </w:r>
      <w:r>
        <w:rPr>
          <w:rFonts w:ascii="仿宋" w:eastAsia="仿宋" w:hAnsi="仿宋" w:cs="仿宋" w:hint="eastAsia"/>
          <w:sz w:val="32"/>
          <w:szCs w:val="32"/>
        </w:rPr>
        <w:t>河南能源结构优化与发展政策研究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29.</w:t>
      </w:r>
      <w:r>
        <w:rPr>
          <w:rFonts w:ascii="仿宋" w:eastAsia="仿宋" w:hAnsi="仿宋" w:cs="仿宋" w:hint="eastAsia"/>
          <w:sz w:val="32"/>
          <w:szCs w:val="32"/>
        </w:rPr>
        <w:t>“一带一路”背景下中原旅游业发展对策研究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30.</w:t>
      </w:r>
      <w:r>
        <w:rPr>
          <w:rFonts w:ascii="仿宋" w:eastAsia="仿宋" w:hAnsi="仿宋" w:cs="仿宋" w:hint="eastAsia"/>
          <w:sz w:val="32"/>
          <w:szCs w:val="32"/>
        </w:rPr>
        <w:t>河南省健康产业发展的对策建议</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31.</w:t>
      </w:r>
      <w:r>
        <w:rPr>
          <w:rFonts w:ascii="仿宋" w:eastAsia="仿宋" w:hAnsi="仿宋" w:cs="仿宋" w:hint="eastAsia"/>
          <w:sz w:val="32"/>
          <w:szCs w:val="32"/>
        </w:rPr>
        <w:t>促进河南省军民融合产业发展对策研究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32.</w:t>
      </w:r>
      <w:r>
        <w:rPr>
          <w:rFonts w:ascii="仿宋" w:eastAsia="仿宋" w:hAnsi="仿宋" w:cs="仿宋" w:hint="eastAsia"/>
          <w:sz w:val="32"/>
          <w:szCs w:val="32"/>
        </w:rPr>
        <w:t>建设郑州国家中心城市的对策研究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33.</w:t>
      </w:r>
      <w:r>
        <w:rPr>
          <w:rFonts w:ascii="仿宋" w:eastAsia="仿宋" w:hAnsi="仿宋" w:cs="仿宋" w:hint="eastAsia"/>
          <w:sz w:val="32"/>
          <w:szCs w:val="32"/>
        </w:rPr>
        <w:t>建设洛阳副中心城市研究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34.</w:t>
      </w:r>
      <w:r>
        <w:rPr>
          <w:rFonts w:ascii="仿宋" w:eastAsia="仿宋" w:hAnsi="仿宋" w:cs="仿宋" w:hint="eastAsia"/>
          <w:sz w:val="32"/>
          <w:szCs w:val="32"/>
        </w:rPr>
        <w:t>新型城镇化背景下县级城市发展研究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35.</w:t>
      </w:r>
      <w:r>
        <w:rPr>
          <w:rFonts w:ascii="仿宋" w:eastAsia="仿宋" w:hAnsi="仿宋" w:cs="仿宋" w:hint="eastAsia"/>
          <w:sz w:val="32"/>
          <w:szCs w:val="32"/>
        </w:rPr>
        <w:t>特色小城镇发展与对策研究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36.</w:t>
      </w:r>
      <w:r>
        <w:rPr>
          <w:rFonts w:ascii="仿宋" w:eastAsia="仿宋" w:hAnsi="仿宋" w:cs="仿宋" w:hint="eastAsia"/>
          <w:sz w:val="32"/>
          <w:szCs w:val="32"/>
        </w:rPr>
        <w:t>新形势下河南省房地产转型发展研究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37.</w:t>
      </w:r>
      <w:r>
        <w:rPr>
          <w:rFonts w:ascii="仿宋" w:eastAsia="仿宋" w:hAnsi="仿宋" w:cs="仿宋" w:hint="eastAsia"/>
          <w:sz w:val="32"/>
          <w:szCs w:val="32"/>
        </w:rPr>
        <w:t>河南省“百城提质工程”实施难点与对策研究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38.</w:t>
      </w:r>
      <w:r>
        <w:rPr>
          <w:rFonts w:ascii="仿宋" w:eastAsia="仿宋" w:hAnsi="仿宋" w:cs="仿宋" w:hint="eastAsia"/>
          <w:sz w:val="32"/>
          <w:szCs w:val="32"/>
        </w:rPr>
        <w:t>河南省保障性住房建设存在的问题与对策研究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39.</w:t>
      </w:r>
      <w:r>
        <w:rPr>
          <w:rFonts w:ascii="仿宋" w:eastAsia="仿宋" w:hAnsi="仿宋" w:cs="仿宋" w:hint="eastAsia"/>
          <w:sz w:val="32"/>
          <w:szCs w:val="32"/>
        </w:rPr>
        <w:t>中原城市群发展阶段与发展路径研究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40.</w:t>
      </w:r>
      <w:r>
        <w:rPr>
          <w:rFonts w:ascii="仿宋" w:eastAsia="仿宋" w:hAnsi="仿宋" w:cs="仿宋" w:hint="eastAsia"/>
          <w:sz w:val="32"/>
          <w:szCs w:val="32"/>
        </w:rPr>
        <w:t>中原城市群现代综合交通枢纽建设研究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41.</w:t>
      </w:r>
      <w:r>
        <w:rPr>
          <w:rFonts w:ascii="仿宋" w:eastAsia="仿宋" w:hAnsi="仿宋" w:cs="仿宋" w:hint="eastAsia"/>
          <w:sz w:val="32"/>
          <w:szCs w:val="32"/>
        </w:rPr>
        <w:t>城镇空间形态与城镇产业转型升级研究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42.</w:t>
      </w:r>
      <w:r>
        <w:rPr>
          <w:rFonts w:ascii="仿宋" w:eastAsia="仿宋" w:hAnsi="仿宋" w:cs="仿宋" w:hint="eastAsia"/>
          <w:sz w:val="32"/>
          <w:szCs w:val="32"/>
        </w:rPr>
        <w:t>中原城市群竞争力测度与评价</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43.</w:t>
      </w:r>
      <w:r>
        <w:rPr>
          <w:rFonts w:ascii="仿宋" w:eastAsia="仿宋" w:hAnsi="仿宋" w:cs="仿宋" w:hint="eastAsia"/>
          <w:sz w:val="32"/>
          <w:szCs w:val="32"/>
        </w:rPr>
        <w:t>增强郑州大都市区辐射带动力和核心竞争力研究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44.</w:t>
      </w:r>
      <w:r>
        <w:rPr>
          <w:rFonts w:ascii="仿宋" w:eastAsia="仿宋" w:hAnsi="仿宋" w:cs="仿宋" w:hint="eastAsia"/>
          <w:sz w:val="32"/>
          <w:szCs w:val="32"/>
        </w:rPr>
        <w:t>各类产业集聚区、特色小城镇的运营模式研究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45.</w:t>
      </w:r>
      <w:r>
        <w:rPr>
          <w:rFonts w:ascii="仿宋" w:eastAsia="仿宋" w:hAnsi="仿宋" w:cs="仿宋" w:hint="eastAsia"/>
          <w:sz w:val="32"/>
          <w:szCs w:val="32"/>
        </w:rPr>
        <w:t>国内产城融合发展的典型案例与经验启示</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46.</w:t>
      </w:r>
      <w:r>
        <w:rPr>
          <w:rFonts w:ascii="仿宋" w:eastAsia="仿宋" w:hAnsi="仿宋" w:cs="仿宋" w:hint="eastAsia"/>
          <w:sz w:val="32"/>
          <w:szCs w:val="32"/>
        </w:rPr>
        <w:t>河南省城市精细化管理研究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47.</w:t>
      </w:r>
      <w:r>
        <w:rPr>
          <w:rFonts w:ascii="仿宋" w:eastAsia="仿宋" w:hAnsi="仿宋" w:cs="仿宋" w:hint="eastAsia"/>
          <w:sz w:val="32"/>
          <w:szCs w:val="32"/>
        </w:rPr>
        <w:t>构建河南省城乡统筹建设用地市场研究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48.</w:t>
      </w:r>
      <w:r>
        <w:rPr>
          <w:rFonts w:ascii="仿宋" w:eastAsia="仿宋" w:hAnsi="仿宋" w:cs="仿宋" w:hint="eastAsia"/>
          <w:sz w:val="32"/>
          <w:szCs w:val="32"/>
        </w:rPr>
        <w:t>新常态下城乡互动发展研究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49.</w:t>
      </w:r>
      <w:r>
        <w:rPr>
          <w:rFonts w:ascii="仿宋" w:eastAsia="仿宋" w:hAnsi="仿宋" w:cs="仿宋" w:hint="eastAsia"/>
          <w:sz w:val="32"/>
          <w:szCs w:val="32"/>
        </w:rPr>
        <w:t>河南省农村一二三产业融合发展研究</w:t>
      </w:r>
      <w:r>
        <w:rPr>
          <w:rFonts w:ascii="仿宋" w:eastAsia="仿宋" w:hAnsi="仿宋" w:cs="仿宋"/>
          <w:sz w:val="32"/>
          <w:szCs w:val="32"/>
        </w:rPr>
        <w:tab/>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50.</w:t>
      </w:r>
      <w:r>
        <w:rPr>
          <w:rFonts w:ascii="仿宋" w:eastAsia="仿宋" w:hAnsi="仿宋" w:cs="仿宋" w:hint="eastAsia"/>
          <w:sz w:val="32"/>
          <w:szCs w:val="32"/>
        </w:rPr>
        <w:t>农产品价格低迷背景下农业经营方式创新研究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51.</w:t>
      </w:r>
      <w:r>
        <w:rPr>
          <w:rFonts w:ascii="仿宋" w:eastAsia="仿宋" w:hAnsi="仿宋" w:cs="仿宋" w:hint="eastAsia"/>
          <w:sz w:val="32"/>
          <w:szCs w:val="32"/>
        </w:rPr>
        <w:t>新常态下河南省促进农民增收问题研究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52.</w:t>
      </w:r>
      <w:r>
        <w:rPr>
          <w:rFonts w:ascii="仿宋" w:eastAsia="仿宋" w:hAnsi="仿宋" w:cs="仿宋" w:hint="eastAsia"/>
          <w:sz w:val="32"/>
          <w:szCs w:val="32"/>
        </w:rPr>
        <w:t>河南省大力发展优质专用小麦、优质花生、优质草畜、优质林果，优化农业种养结构研究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53.</w:t>
      </w:r>
      <w:r>
        <w:rPr>
          <w:rFonts w:ascii="仿宋" w:eastAsia="仿宋" w:hAnsi="仿宋" w:cs="仿宋" w:hint="eastAsia"/>
          <w:sz w:val="32"/>
          <w:szCs w:val="32"/>
        </w:rPr>
        <w:t>加快推进河南省农业布局区域化、经营规模化、生产标准化、发展产业化研究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54.</w:t>
      </w:r>
      <w:r>
        <w:rPr>
          <w:rFonts w:ascii="仿宋" w:eastAsia="仿宋" w:hAnsi="仿宋" w:cs="仿宋" w:hint="eastAsia"/>
          <w:sz w:val="32"/>
          <w:szCs w:val="32"/>
        </w:rPr>
        <w:t>河南省农业“三园、三区、一体”建设研究</w:t>
      </w:r>
    </w:p>
    <w:p w:rsidR="00064C28" w:rsidRPr="005A7350" w:rsidRDefault="00064C28" w:rsidP="004C4C8A">
      <w:pPr>
        <w:spacing w:line="600" w:lineRule="exact"/>
        <w:ind w:firstLineChars="200" w:firstLine="31680"/>
        <w:rPr>
          <w:rFonts w:ascii="仿宋" w:eastAsia="仿宋" w:hAnsi="仿宋" w:cs="仿宋"/>
          <w:sz w:val="28"/>
          <w:szCs w:val="28"/>
        </w:rPr>
      </w:pPr>
      <w:r w:rsidRPr="005A7350">
        <w:rPr>
          <w:rFonts w:ascii="仿宋" w:eastAsia="仿宋" w:hAnsi="仿宋" w:cs="仿宋" w:hint="eastAsia"/>
          <w:sz w:val="28"/>
          <w:szCs w:val="28"/>
        </w:rPr>
        <w:t>（“三园”为现代农业产业园、科技园、创业园；“三区”为粮食生产功能区、重要农产品生产保护区和特色农产品优势区；“一体”为田园综合体</w:t>
      </w:r>
      <w:r w:rsidRPr="005A7350">
        <w:rPr>
          <w:rFonts w:ascii="仿宋" w:eastAsia="仿宋" w:hAnsi="仿宋" w:cs="仿宋"/>
          <w:sz w:val="28"/>
          <w:szCs w:val="28"/>
        </w:rPr>
        <w:t xml:space="preserve"> </w:t>
      </w:r>
      <w:r w:rsidRPr="005A7350">
        <w:rPr>
          <w:rFonts w:ascii="仿宋" w:eastAsia="仿宋" w:hAnsi="仿宋" w:cs="仿宋" w:hint="eastAsia"/>
          <w:sz w:val="28"/>
          <w:szCs w:val="28"/>
        </w:rPr>
        <w:t>）</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55.</w:t>
      </w:r>
      <w:r>
        <w:rPr>
          <w:rFonts w:ascii="仿宋" w:eastAsia="仿宋" w:hAnsi="仿宋" w:cs="仿宋" w:hint="eastAsia"/>
          <w:sz w:val="32"/>
          <w:szCs w:val="32"/>
        </w:rPr>
        <w:t>推进农村新产业新业态发展研究</w:t>
      </w:r>
    </w:p>
    <w:p w:rsidR="00064C28" w:rsidRPr="005A7350" w:rsidRDefault="00064C28" w:rsidP="004C4C8A">
      <w:pPr>
        <w:spacing w:line="600" w:lineRule="exact"/>
        <w:ind w:firstLineChars="200" w:firstLine="31680"/>
        <w:rPr>
          <w:rFonts w:ascii="仿宋" w:eastAsia="仿宋" w:hAnsi="仿宋" w:cs="仿宋"/>
          <w:sz w:val="28"/>
          <w:szCs w:val="28"/>
        </w:rPr>
      </w:pPr>
      <w:r w:rsidRPr="005A7350">
        <w:rPr>
          <w:rFonts w:ascii="仿宋" w:eastAsia="仿宋" w:hAnsi="仿宋" w:cs="仿宋" w:hint="eastAsia"/>
          <w:sz w:val="28"/>
          <w:szCs w:val="28"/>
        </w:rPr>
        <w:t>（农村新产业新业态为河南特色村镇、国家农业公园、“互联网</w:t>
      </w:r>
      <w:r w:rsidRPr="005A7350">
        <w:rPr>
          <w:rFonts w:ascii="仿宋" w:eastAsia="仿宋" w:hAnsi="仿宋" w:cs="仿宋"/>
          <w:sz w:val="28"/>
          <w:szCs w:val="28"/>
        </w:rPr>
        <w:t>+</w:t>
      </w:r>
      <w:r w:rsidRPr="005A7350">
        <w:rPr>
          <w:rFonts w:ascii="仿宋" w:eastAsia="仿宋" w:hAnsi="仿宋" w:cs="仿宋" w:hint="eastAsia"/>
          <w:sz w:val="28"/>
          <w:szCs w:val="28"/>
        </w:rPr>
        <w:t>”现代农业、农产品加工业等）</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56.</w:t>
      </w:r>
      <w:r>
        <w:rPr>
          <w:rFonts w:ascii="仿宋" w:eastAsia="仿宋" w:hAnsi="仿宋" w:cs="仿宋" w:hint="eastAsia"/>
          <w:sz w:val="32"/>
          <w:szCs w:val="32"/>
        </w:rPr>
        <w:t>优化农业从业者结构，培育新型职业农民</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57.</w:t>
      </w:r>
      <w:r>
        <w:rPr>
          <w:rFonts w:ascii="仿宋" w:eastAsia="仿宋" w:hAnsi="仿宋" w:cs="仿宋" w:hint="eastAsia"/>
          <w:sz w:val="32"/>
          <w:szCs w:val="32"/>
        </w:rPr>
        <w:t>深化河南省农村集体产权制度改革研究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68.</w:t>
      </w:r>
      <w:r>
        <w:rPr>
          <w:rFonts w:ascii="仿宋" w:eastAsia="仿宋" w:hAnsi="仿宋" w:cs="仿宋" w:hint="eastAsia"/>
          <w:sz w:val="32"/>
          <w:szCs w:val="32"/>
        </w:rPr>
        <w:t>新时期河南省促进各类人才回乡下乡创业创新研究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59.</w:t>
      </w:r>
      <w:r>
        <w:rPr>
          <w:rFonts w:ascii="仿宋" w:eastAsia="仿宋" w:hAnsi="仿宋" w:cs="仿宋" w:hint="eastAsia"/>
          <w:sz w:val="32"/>
          <w:szCs w:val="32"/>
        </w:rPr>
        <w:t>关于推进河南省农业领域政府和社会资本合作研究</w:t>
      </w:r>
      <w:r>
        <w:rPr>
          <w:rFonts w:ascii="仿宋" w:eastAsia="仿宋" w:hAnsi="仿宋" w:cs="仿宋"/>
          <w:sz w:val="32"/>
          <w:szCs w:val="32"/>
        </w:rPr>
        <w:t xml:space="preserve"> </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60.</w:t>
      </w:r>
      <w:r>
        <w:rPr>
          <w:rFonts w:ascii="仿宋" w:eastAsia="仿宋" w:hAnsi="仿宋" w:cs="仿宋" w:hint="eastAsia"/>
          <w:sz w:val="32"/>
          <w:szCs w:val="32"/>
        </w:rPr>
        <w:t>河南省农业绿色发展研究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61.</w:t>
      </w:r>
      <w:r>
        <w:rPr>
          <w:rFonts w:ascii="仿宋" w:eastAsia="仿宋" w:hAnsi="仿宋" w:cs="仿宋" w:hint="eastAsia"/>
          <w:sz w:val="32"/>
          <w:szCs w:val="32"/>
        </w:rPr>
        <w:t>河南农业开放发展研究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62.</w:t>
      </w:r>
      <w:r>
        <w:rPr>
          <w:rFonts w:ascii="仿宋" w:eastAsia="仿宋" w:hAnsi="仿宋" w:cs="仿宋" w:hint="eastAsia"/>
          <w:sz w:val="32"/>
          <w:szCs w:val="32"/>
        </w:rPr>
        <w:t>新型城镇化背景下完善乡村治理体系研究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63.</w:t>
      </w:r>
      <w:r>
        <w:rPr>
          <w:rFonts w:ascii="仿宋" w:eastAsia="仿宋" w:hAnsi="仿宋" w:cs="仿宋" w:hint="eastAsia"/>
          <w:sz w:val="32"/>
          <w:szCs w:val="32"/>
        </w:rPr>
        <w:t>做大做强金融豫军的战略思路与政策选择</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64.</w:t>
      </w:r>
      <w:r>
        <w:rPr>
          <w:rFonts w:ascii="仿宋" w:eastAsia="仿宋" w:hAnsi="仿宋" w:cs="仿宋" w:hint="eastAsia"/>
          <w:sz w:val="32"/>
          <w:szCs w:val="32"/>
        </w:rPr>
        <w:t>新常态下河南省财税收入新增长点培育研究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65.</w:t>
      </w:r>
      <w:r>
        <w:rPr>
          <w:rFonts w:ascii="仿宋" w:eastAsia="仿宋" w:hAnsi="仿宋" w:cs="仿宋" w:hint="eastAsia"/>
          <w:sz w:val="32"/>
          <w:szCs w:val="32"/>
        </w:rPr>
        <w:t>有效拉动民间投资促进经济稳定增长研究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66.</w:t>
      </w:r>
      <w:r>
        <w:rPr>
          <w:rFonts w:ascii="仿宋" w:eastAsia="仿宋" w:hAnsi="仿宋" w:cs="仿宋" w:hint="eastAsia"/>
          <w:sz w:val="32"/>
          <w:szCs w:val="32"/>
        </w:rPr>
        <w:t>河南省区域股权市场健康发展研究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67.</w:t>
      </w:r>
      <w:r>
        <w:rPr>
          <w:rFonts w:ascii="仿宋" w:eastAsia="仿宋" w:hAnsi="仿宋" w:cs="仿宋" w:hint="eastAsia"/>
          <w:sz w:val="32"/>
          <w:szCs w:val="32"/>
        </w:rPr>
        <w:t>新一轮财税体制改革对河南省投融资模式影响研究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68.</w:t>
      </w:r>
      <w:r>
        <w:rPr>
          <w:rFonts w:ascii="仿宋" w:eastAsia="仿宋" w:hAnsi="仿宋" w:cs="仿宋" w:hint="eastAsia"/>
          <w:sz w:val="32"/>
          <w:szCs w:val="32"/>
        </w:rPr>
        <w:t>河南省自由贸易试验区金融开放与创新问题研究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69.</w:t>
      </w:r>
      <w:r>
        <w:rPr>
          <w:rFonts w:ascii="仿宋" w:eastAsia="仿宋" w:hAnsi="仿宋" w:cs="仿宋" w:hint="eastAsia"/>
          <w:sz w:val="32"/>
          <w:szCs w:val="32"/>
        </w:rPr>
        <w:t>创新“百城建设提质工程”的投融资模式研究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70.</w:t>
      </w:r>
      <w:r>
        <w:rPr>
          <w:rFonts w:ascii="仿宋" w:eastAsia="仿宋" w:hAnsi="仿宋" w:cs="仿宋" w:hint="eastAsia"/>
          <w:sz w:val="32"/>
          <w:szCs w:val="32"/>
        </w:rPr>
        <w:t>有效利用债券市场扩大融资渠道研究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71.</w:t>
      </w:r>
      <w:r>
        <w:rPr>
          <w:rFonts w:ascii="仿宋" w:eastAsia="仿宋" w:hAnsi="仿宋" w:cs="仿宋" w:hint="eastAsia"/>
          <w:sz w:val="32"/>
          <w:szCs w:val="32"/>
        </w:rPr>
        <w:t>促进河南省互联网金融健康发展研究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72.</w:t>
      </w:r>
      <w:r>
        <w:rPr>
          <w:rFonts w:ascii="仿宋" w:eastAsia="仿宋" w:hAnsi="仿宋" w:cs="仿宋" w:hint="eastAsia"/>
          <w:sz w:val="32"/>
          <w:szCs w:val="32"/>
        </w:rPr>
        <w:t>河南省企业税费结构与减负对策研究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73.</w:t>
      </w:r>
      <w:r>
        <w:rPr>
          <w:rFonts w:ascii="仿宋" w:eastAsia="仿宋" w:hAnsi="仿宋" w:cs="仿宋" w:hint="eastAsia"/>
          <w:sz w:val="32"/>
          <w:szCs w:val="32"/>
        </w:rPr>
        <w:t>河南省</w:t>
      </w:r>
      <w:r>
        <w:rPr>
          <w:rFonts w:ascii="仿宋" w:eastAsia="仿宋" w:hAnsi="仿宋" w:cs="仿宋"/>
          <w:sz w:val="32"/>
          <w:szCs w:val="32"/>
        </w:rPr>
        <w:t>PPP</w:t>
      </w:r>
      <w:r>
        <w:rPr>
          <w:rFonts w:ascii="仿宋" w:eastAsia="仿宋" w:hAnsi="仿宋" w:cs="仿宋" w:hint="eastAsia"/>
          <w:sz w:val="32"/>
          <w:szCs w:val="32"/>
        </w:rPr>
        <w:t>发展现状、问题和对策研究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74.</w:t>
      </w:r>
      <w:r>
        <w:rPr>
          <w:rFonts w:ascii="仿宋" w:eastAsia="仿宋" w:hAnsi="仿宋" w:cs="仿宋" w:hint="eastAsia"/>
          <w:sz w:val="32"/>
          <w:szCs w:val="32"/>
        </w:rPr>
        <w:t>河南省实体经济企业融资结构和成本实证研究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75.</w:t>
      </w:r>
      <w:r>
        <w:rPr>
          <w:rFonts w:ascii="仿宋" w:eastAsia="仿宋" w:hAnsi="仿宋" w:cs="仿宋" w:hint="eastAsia"/>
          <w:sz w:val="32"/>
          <w:szCs w:val="32"/>
        </w:rPr>
        <w:t>当前地方政府融资模式、存在问题与对策研究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76.</w:t>
      </w:r>
      <w:r>
        <w:rPr>
          <w:rFonts w:ascii="仿宋" w:eastAsia="仿宋" w:hAnsi="仿宋" w:cs="仿宋" w:hint="eastAsia"/>
          <w:sz w:val="32"/>
          <w:szCs w:val="32"/>
        </w:rPr>
        <w:t>现阶段河南省企业债务风险与防范研究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77.</w:t>
      </w:r>
      <w:r>
        <w:rPr>
          <w:rFonts w:ascii="仿宋" w:eastAsia="仿宋" w:hAnsi="仿宋" w:cs="仿宋" w:hint="eastAsia"/>
          <w:sz w:val="32"/>
          <w:szCs w:val="32"/>
        </w:rPr>
        <w:t>做大做强产业投资基金战略研究</w:t>
      </w:r>
      <w:r>
        <w:rPr>
          <w:rFonts w:ascii="仿宋" w:eastAsia="仿宋" w:hAnsi="仿宋" w:cs="仿宋"/>
          <w:sz w:val="32"/>
          <w:szCs w:val="32"/>
        </w:rPr>
        <w:tab/>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78.</w:t>
      </w:r>
      <w:r>
        <w:rPr>
          <w:rFonts w:ascii="仿宋" w:eastAsia="仿宋" w:hAnsi="仿宋" w:cs="仿宋" w:hint="eastAsia"/>
          <w:sz w:val="32"/>
          <w:szCs w:val="32"/>
        </w:rPr>
        <w:t>促进河南省金融业转型提质发展的方向与路径研究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79.</w:t>
      </w:r>
      <w:r>
        <w:rPr>
          <w:rFonts w:ascii="仿宋" w:eastAsia="仿宋" w:hAnsi="仿宋" w:cs="仿宋" w:hint="eastAsia"/>
          <w:sz w:val="32"/>
          <w:szCs w:val="32"/>
        </w:rPr>
        <w:t>河南省养老社会保障体系研究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80.</w:t>
      </w:r>
      <w:r>
        <w:rPr>
          <w:rFonts w:ascii="仿宋" w:eastAsia="仿宋" w:hAnsi="仿宋" w:cs="仿宋" w:hint="eastAsia"/>
          <w:sz w:val="32"/>
          <w:szCs w:val="32"/>
        </w:rPr>
        <w:t>建设郑州综合性国家科学中心暨科技创新中心的对策研究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81.</w:t>
      </w:r>
      <w:r>
        <w:rPr>
          <w:rFonts w:ascii="仿宋" w:eastAsia="仿宋" w:hAnsi="仿宋" w:cs="仿宋" w:hint="eastAsia"/>
          <w:sz w:val="32"/>
          <w:szCs w:val="32"/>
        </w:rPr>
        <w:t>实施人才强省战略、打造人才高地研究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82.</w:t>
      </w:r>
      <w:r>
        <w:rPr>
          <w:rFonts w:ascii="仿宋" w:eastAsia="仿宋" w:hAnsi="仿宋" w:cs="仿宋" w:hint="eastAsia"/>
          <w:sz w:val="32"/>
          <w:szCs w:val="32"/>
        </w:rPr>
        <w:t>郑洛新国家自主创新示范区建设人才需求与培养改革探索</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83.</w:t>
      </w:r>
      <w:r>
        <w:rPr>
          <w:rFonts w:ascii="仿宋" w:eastAsia="仿宋" w:hAnsi="仿宋" w:cs="仿宋" w:hint="eastAsia"/>
          <w:sz w:val="32"/>
          <w:szCs w:val="32"/>
        </w:rPr>
        <w:t>河南自贸区建设外向型人才支撑问题研究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84.</w:t>
      </w:r>
      <w:r>
        <w:rPr>
          <w:rFonts w:ascii="仿宋" w:eastAsia="仿宋" w:hAnsi="仿宋" w:cs="仿宋" w:hint="eastAsia"/>
          <w:sz w:val="32"/>
          <w:szCs w:val="32"/>
        </w:rPr>
        <w:t>供给侧结构性改革背景下</w:t>
      </w:r>
      <w:r>
        <w:rPr>
          <w:rFonts w:ascii="仿宋" w:eastAsia="仿宋" w:hAnsi="仿宋" w:cs="仿宋"/>
          <w:sz w:val="32"/>
          <w:szCs w:val="32"/>
        </w:rPr>
        <w:t xml:space="preserve">  </w:t>
      </w:r>
      <w:r>
        <w:rPr>
          <w:rFonts w:ascii="仿宋" w:eastAsia="仿宋" w:hAnsi="仿宋" w:cs="仿宋" w:hint="eastAsia"/>
          <w:sz w:val="32"/>
          <w:szCs w:val="32"/>
        </w:rPr>
        <w:t>河南省就业升级与技能提升问题研究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85.</w:t>
      </w:r>
      <w:r>
        <w:rPr>
          <w:rFonts w:ascii="仿宋" w:eastAsia="仿宋" w:hAnsi="仿宋" w:cs="仿宋" w:hint="eastAsia"/>
          <w:sz w:val="32"/>
          <w:szCs w:val="32"/>
        </w:rPr>
        <w:t>河南加快构建全国重要文化高地的短板与对策研究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86.</w:t>
      </w:r>
      <w:r>
        <w:rPr>
          <w:rFonts w:ascii="仿宋" w:eastAsia="仿宋" w:hAnsi="仿宋" w:cs="仿宋" w:hint="eastAsia"/>
          <w:sz w:val="32"/>
          <w:szCs w:val="32"/>
        </w:rPr>
        <w:t>河南打造全国文化高地的内涵与方法研究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87.</w:t>
      </w:r>
      <w:r>
        <w:rPr>
          <w:rFonts w:ascii="仿宋" w:eastAsia="仿宋" w:hAnsi="仿宋" w:cs="仿宋" w:hint="eastAsia"/>
          <w:sz w:val="32"/>
          <w:szCs w:val="32"/>
        </w:rPr>
        <w:t>河南省自贸区背景下文化教育开放发展问题研究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88.</w:t>
      </w:r>
      <w:r>
        <w:rPr>
          <w:rFonts w:ascii="仿宋" w:eastAsia="仿宋" w:hAnsi="仿宋" w:cs="仿宋" w:hint="eastAsia"/>
          <w:sz w:val="32"/>
          <w:szCs w:val="32"/>
        </w:rPr>
        <w:t>河南大气雾霾污染应急响应机制及协同治理方案研究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89.</w:t>
      </w:r>
      <w:r>
        <w:rPr>
          <w:rFonts w:ascii="仿宋" w:eastAsia="仿宋" w:hAnsi="仿宋" w:cs="仿宋" w:hint="eastAsia"/>
          <w:sz w:val="32"/>
          <w:szCs w:val="32"/>
        </w:rPr>
        <w:t>国内外碳排放市场建设经验及对河南省的启示</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90.</w:t>
      </w:r>
      <w:r>
        <w:rPr>
          <w:rFonts w:ascii="仿宋" w:eastAsia="仿宋" w:hAnsi="仿宋" w:cs="仿宋" w:hint="eastAsia"/>
          <w:sz w:val="32"/>
          <w:szCs w:val="32"/>
        </w:rPr>
        <w:t>南水北调中线水源地跨省生态协调治理研究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91.</w:t>
      </w:r>
      <w:r>
        <w:rPr>
          <w:rFonts w:ascii="仿宋" w:eastAsia="仿宋" w:hAnsi="仿宋" w:cs="仿宋" w:hint="eastAsia"/>
          <w:sz w:val="32"/>
          <w:szCs w:val="32"/>
        </w:rPr>
        <w:t>河南贫困县分类施策精准扶贫绩效评估与典型案例研究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92.</w:t>
      </w:r>
      <w:r>
        <w:rPr>
          <w:rFonts w:ascii="仿宋" w:eastAsia="仿宋" w:hAnsi="仿宋" w:cs="仿宋" w:hint="eastAsia"/>
          <w:sz w:val="32"/>
          <w:szCs w:val="32"/>
        </w:rPr>
        <w:t>发展农村合作组织促进河南省脱贫攻坚问题研究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93.</w:t>
      </w:r>
      <w:r>
        <w:rPr>
          <w:rFonts w:ascii="仿宋" w:eastAsia="仿宋" w:hAnsi="仿宋" w:cs="仿宋" w:hint="eastAsia"/>
          <w:sz w:val="32"/>
          <w:szCs w:val="32"/>
        </w:rPr>
        <w:t>河南社会治理体系和治理能力现代化研究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94.</w:t>
      </w:r>
      <w:r>
        <w:rPr>
          <w:rFonts w:ascii="仿宋" w:eastAsia="仿宋" w:hAnsi="仿宋" w:cs="仿宋" w:hint="eastAsia"/>
          <w:sz w:val="32"/>
          <w:szCs w:val="32"/>
        </w:rPr>
        <w:t>河南省环境群体性事件预防治理机制研究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95.</w:t>
      </w:r>
      <w:r>
        <w:rPr>
          <w:rFonts w:ascii="仿宋" w:eastAsia="仿宋" w:hAnsi="仿宋" w:cs="仿宋" w:hint="eastAsia"/>
          <w:sz w:val="32"/>
          <w:szCs w:val="32"/>
        </w:rPr>
        <w:t>河南基层党建工作创新研究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96.</w:t>
      </w:r>
      <w:r>
        <w:rPr>
          <w:rFonts w:ascii="仿宋" w:eastAsia="仿宋" w:hAnsi="仿宋" w:cs="仿宋" w:hint="eastAsia"/>
          <w:sz w:val="32"/>
          <w:szCs w:val="32"/>
        </w:rPr>
        <w:t>强化党内监督</w:t>
      </w:r>
      <w:r>
        <w:rPr>
          <w:rFonts w:ascii="仿宋" w:eastAsia="仿宋" w:hAnsi="仿宋" w:cs="仿宋"/>
          <w:sz w:val="32"/>
          <w:szCs w:val="32"/>
        </w:rPr>
        <w:t xml:space="preserve">  </w:t>
      </w:r>
      <w:r>
        <w:rPr>
          <w:rFonts w:ascii="仿宋" w:eastAsia="仿宋" w:hAnsi="仿宋" w:cs="仿宋" w:hint="eastAsia"/>
          <w:sz w:val="32"/>
          <w:szCs w:val="32"/>
        </w:rPr>
        <w:t>破解“一把手”监督难的问题研究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97.</w:t>
      </w:r>
      <w:r>
        <w:rPr>
          <w:rFonts w:ascii="仿宋" w:eastAsia="仿宋" w:hAnsi="仿宋" w:cs="仿宋" w:hint="eastAsia"/>
          <w:sz w:val="32"/>
          <w:szCs w:val="32"/>
        </w:rPr>
        <w:t>巩固作风建设成果、破解“四风”禁而不绝问题研究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98.</w:t>
      </w:r>
      <w:r>
        <w:rPr>
          <w:rFonts w:ascii="仿宋" w:eastAsia="仿宋" w:hAnsi="仿宋" w:cs="仿宋" w:hint="eastAsia"/>
          <w:sz w:val="32"/>
          <w:szCs w:val="32"/>
        </w:rPr>
        <w:t>发挥“派”的权威和“驻”的优势，强化派驻机构“探头”作用研究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99.</w:t>
      </w:r>
      <w:r>
        <w:rPr>
          <w:rFonts w:ascii="仿宋" w:eastAsia="仿宋" w:hAnsi="仿宋" w:cs="仿宋" w:hint="eastAsia"/>
          <w:sz w:val="32"/>
          <w:szCs w:val="32"/>
        </w:rPr>
        <w:t>破解“为官不为、懒政、怠政”问题研究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100.</w:t>
      </w:r>
      <w:r>
        <w:rPr>
          <w:rFonts w:ascii="仿宋" w:eastAsia="仿宋" w:hAnsi="仿宋" w:cs="仿宋" w:hint="eastAsia"/>
          <w:sz w:val="32"/>
          <w:szCs w:val="32"/>
        </w:rPr>
        <w:t>纪委实现自我监督的路径研究</w:t>
      </w:r>
    </w:p>
    <w:p w:rsidR="00064C28" w:rsidRDefault="00064C28" w:rsidP="004C4C8A">
      <w:pPr>
        <w:spacing w:line="600" w:lineRule="exact"/>
        <w:ind w:firstLineChars="200" w:firstLine="31680"/>
        <w:rPr>
          <w:rFonts w:ascii="黑体" w:eastAsia="黑体" w:hAnsi="黑体"/>
          <w:sz w:val="32"/>
          <w:szCs w:val="32"/>
        </w:rPr>
      </w:pPr>
      <w:r>
        <w:rPr>
          <w:rFonts w:ascii="黑体" w:eastAsia="黑体" w:hAnsi="黑体" w:hint="eastAsia"/>
          <w:sz w:val="32"/>
          <w:szCs w:val="32"/>
        </w:rPr>
        <w:t>二、财政专项课题</w:t>
      </w:r>
    </w:p>
    <w:p w:rsidR="00064C28" w:rsidRPr="005A7350" w:rsidRDefault="00064C28" w:rsidP="004C4C8A">
      <w:pPr>
        <w:spacing w:line="600" w:lineRule="exact"/>
        <w:ind w:firstLineChars="200" w:firstLine="31680"/>
        <w:rPr>
          <w:rFonts w:ascii="仿宋" w:eastAsia="仿宋" w:hAnsi="仿宋" w:cs="仿宋"/>
          <w:b/>
          <w:bCs/>
          <w:sz w:val="32"/>
          <w:szCs w:val="32"/>
        </w:rPr>
      </w:pPr>
      <w:r w:rsidRPr="005A7350">
        <w:rPr>
          <w:rFonts w:ascii="楷体" w:eastAsia="楷体" w:hAnsi="楷体" w:cs="楷体" w:hint="eastAsia"/>
          <w:sz w:val="32"/>
          <w:szCs w:val="32"/>
        </w:rPr>
        <w:t>（一）</w:t>
      </w:r>
      <w:r w:rsidRPr="005A7350">
        <w:rPr>
          <w:rFonts w:ascii="仿宋" w:eastAsia="仿宋" w:hAnsi="仿宋" w:cs="仿宋" w:hint="eastAsia"/>
          <w:b/>
          <w:bCs/>
          <w:sz w:val="32"/>
          <w:szCs w:val="32"/>
        </w:rPr>
        <w:t>重点课题</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中国（上海）自由贸易区发展经验举措对河南自由贸易区建设发展借鉴研究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郑洛新国家自主创新示范区和其他国家自主创新示范区建设发展比较研究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中部六省财政情况比较分析</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创新财政资源配置方式促进转型发展研究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河南省财政养老保障支出的可持续性评估研究</w:t>
      </w:r>
    </w:p>
    <w:p w:rsidR="00064C28" w:rsidRPr="005A7350" w:rsidRDefault="00064C28" w:rsidP="004C4C8A">
      <w:pPr>
        <w:spacing w:line="600" w:lineRule="exact"/>
        <w:ind w:firstLineChars="200" w:firstLine="31680"/>
        <w:rPr>
          <w:rFonts w:ascii="仿宋" w:eastAsia="仿宋" w:hAnsi="仿宋" w:cs="仿宋"/>
          <w:b/>
          <w:bCs/>
          <w:sz w:val="32"/>
          <w:szCs w:val="32"/>
        </w:rPr>
      </w:pPr>
      <w:r w:rsidRPr="005A7350">
        <w:rPr>
          <w:rFonts w:ascii="楷体" w:eastAsia="楷体" w:hAnsi="楷体" w:cs="楷体" w:hint="eastAsia"/>
          <w:sz w:val="32"/>
          <w:szCs w:val="32"/>
        </w:rPr>
        <w:t>（二）</w:t>
      </w:r>
      <w:r w:rsidRPr="005A7350">
        <w:rPr>
          <w:rFonts w:ascii="仿宋" w:eastAsia="仿宋" w:hAnsi="仿宋" w:cs="仿宋" w:hint="eastAsia"/>
          <w:b/>
          <w:bCs/>
          <w:sz w:val="32"/>
          <w:szCs w:val="32"/>
        </w:rPr>
        <w:t>一般课题</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基于中原崛起河南振兴的高等教育发展研究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河南省现代服务业发展现状与对策</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推动“百城建设提质工程”的融资模式研究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货币流动性趋势及对我省经济的影响</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河南省贫困县涉农资金整合效果评估研究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分类处置“僵尸企业”政策研究</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省属功能类、公益类国有企业改革研究</w:t>
      </w:r>
      <w:r>
        <w:rPr>
          <w:rFonts w:ascii="仿宋" w:eastAsia="仿宋" w:hAnsi="仿宋" w:cs="仿宋"/>
          <w:sz w:val="32"/>
          <w:szCs w:val="32"/>
        </w:rPr>
        <w:t xml:space="preserve"> </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河南省企业减税降费效果分析与政策建议</w:t>
      </w:r>
    </w:p>
    <w:p w:rsidR="00064C28" w:rsidRDefault="00064C28" w:rsidP="004C4C8A">
      <w:pPr>
        <w:spacing w:line="600" w:lineRule="exact"/>
        <w:ind w:firstLineChars="200" w:firstLine="3168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政府性投资基金财政风险防控机制研究</w:t>
      </w:r>
    </w:p>
    <w:p w:rsidR="00064C28" w:rsidRDefault="00064C28" w:rsidP="0096097F">
      <w:pPr>
        <w:spacing w:line="600" w:lineRule="exact"/>
        <w:ind w:firstLineChars="200" w:firstLine="31680"/>
        <w:rPr>
          <w:rFonts w:ascii="仿宋" w:eastAsia="仿宋" w:hAnsi="仿宋" w:cs="仿宋"/>
          <w:sz w:val="32"/>
          <w:szCs w:val="32"/>
        </w:rPr>
      </w:pPr>
      <w:r>
        <w:rPr>
          <w:rFonts w:ascii="仿宋" w:eastAsia="仿宋" w:hAnsi="仿宋" w:cs="仿宋"/>
          <w:sz w:val="32"/>
          <w:szCs w:val="32"/>
        </w:rPr>
        <w:t>10.</w:t>
      </w:r>
      <w:r>
        <w:rPr>
          <w:rFonts w:ascii="仿宋" w:eastAsia="仿宋" w:hAnsi="仿宋" w:cs="仿宋" w:hint="eastAsia"/>
          <w:sz w:val="32"/>
          <w:szCs w:val="32"/>
        </w:rPr>
        <w:t>完善境外所得税收抵免政策研究</w:t>
      </w:r>
    </w:p>
    <w:sectPr w:rsidR="00064C28" w:rsidSect="001A2C3C">
      <w:headerReference w:type="default" r:id="rId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28" w:rsidRDefault="00064C28" w:rsidP="001A2C3C">
      <w:r>
        <w:separator/>
      </w:r>
    </w:p>
  </w:endnote>
  <w:endnote w:type="continuationSeparator" w:id="0">
    <w:p w:rsidR="00064C28" w:rsidRDefault="00064C28" w:rsidP="001A2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_GBK">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28" w:rsidRDefault="00064C28">
    <w:pPr>
      <w:pStyle w:val="Footer"/>
    </w:pPr>
    <w:r>
      <w:rPr>
        <w:noProof/>
      </w:rPr>
      <w:pict>
        <v:rect id="文本框 1" o:spid="_x0000_s2049" style="position:absolute;margin-left:0;margin-top:0;width:2in;height:2in;z-index:251660288;mso-wrap-style:none;mso-position-horizontal:center;mso-position-horizontal-relative:margin" o:preferrelative="t" filled="f" stroked="f">
          <v:textbox style="mso-fit-shape-to-text:t" inset="0,0,0,0">
            <w:txbxContent>
              <w:p w:rsidR="00064C28" w:rsidRDefault="00064C28">
                <w:pPr>
                  <w:snapToGrid w:val="0"/>
                  <w:rPr>
                    <w:sz w:val="18"/>
                  </w:rPr>
                </w:pPr>
                <w:r>
                  <w:rPr>
                    <w:sz w:val="36"/>
                    <w:szCs w:val="36"/>
                  </w:rPr>
                  <w:fldChar w:fldCharType="begin"/>
                </w:r>
                <w:r>
                  <w:rPr>
                    <w:sz w:val="36"/>
                    <w:szCs w:val="36"/>
                  </w:rPr>
                  <w:instrText xml:space="preserve"> PAGE  \* MERGEFORMAT </w:instrText>
                </w:r>
                <w:r>
                  <w:rPr>
                    <w:sz w:val="36"/>
                    <w:szCs w:val="36"/>
                  </w:rPr>
                  <w:fldChar w:fldCharType="separate"/>
                </w:r>
                <w:r>
                  <w:rPr>
                    <w:noProof/>
                    <w:sz w:val="36"/>
                    <w:szCs w:val="36"/>
                  </w:rPr>
                  <w:t>- 6 -</w:t>
                </w:r>
                <w:r>
                  <w:rPr>
                    <w:sz w:val="36"/>
                    <w:szCs w:val="36"/>
                  </w:rPr>
                  <w:fldChar w:fldCharType="end"/>
                </w:r>
              </w:p>
            </w:txbxContent>
          </v:textbox>
          <w10:wrap anchorx="margin"/>
        </v:rect>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28" w:rsidRDefault="00064C28" w:rsidP="001A2C3C">
      <w:r>
        <w:separator/>
      </w:r>
    </w:p>
  </w:footnote>
  <w:footnote w:type="continuationSeparator" w:id="0">
    <w:p w:rsidR="00064C28" w:rsidRDefault="00064C28" w:rsidP="001A2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28" w:rsidRDefault="00064C28">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C3C"/>
    <w:rsid w:val="00064C28"/>
    <w:rsid w:val="001A2C3C"/>
    <w:rsid w:val="001B4F8B"/>
    <w:rsid w:val="001D12C3"/>
    <w:rsid w:val="00301F8D"/>
    <w:rsid w:val="00410586"/>
    <w:rsid w:val="00473F8C"/>
    <w:rsid w:val="004C4C8A"/>
    <w:rsid w:val="005A7350"/>
    <w:rsid w:val="005E7887"/>
    <w:rsid w:val="00754F82"/>
    <w:rsid w:val="00757F8F"/>
    <w:rsid w:val="0096097F"/>
    <w:rsid w:val="00992D6D"/>
    <w:rsid w:val="00AA5509"/>
    <w:rsid w:val="00BB525A"/>
    <w:rsid w:val="00C61439"/>
    <w:rsid w:val="00D029F5"/>
    <w:rsid w:val="00D73C2D"/>
    <w:rsid w:val="00D76039"/>
    <w:rsid w:val="00DD126D"/>
    <w:rsid w:val="00EF64B1"/>
    <w:rsid w:val="00F57E25"/>
    <w:rsid w:val="00FB3AE4"/>
    <w:rsid w:val="010204A4"/>
    <w:rsid w:val="05615C9E"/>
    <w:rsid w:val="0D8F227C"/>
    <w:rsid w:val="151B67F1"/>
    <w:rsid w:val="1833646B"/>
    <w:rsid w:val="19AE3D00"/>
    <w:rsid w:val="1FD10A6F"/>
    <w:rsid w:val="20142A5D"/>
    <w:rsid w:val="311C060A"/>
    <w:rsid w:val="346822B0"/>
    <w:rsid w:val="456A063B"/>
    <w:rsid w:val="4FF01696"/>
    <w:rsid w:val="577B770F"/>
    <w:rsid w:val="58351795"/>
    <w:rsid w:val="5B8C403F"/>
    <w:rsid w:val="5E9349AC"/>
    <w:rsid w:val="68034175"/>
    <w:rsid w:val="78AA02D9"/>
    <w:rsid w:val="7A7F4A7B"/>
    <w:rsid w:val="7B6850C7"/>
    <w:rsid w:val="7D231659"/>
    <w:rsid w:val="7EB90D2E"/>
    <w:rsid w:val="7F4638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A2C3C"/>
    <w:pPr>
      <w:widowControl w:val="0"/>
      <w:jc w:val="both"/>
    </w:pPr>
    <w:rPr>
      <w:rFonts w:ascii="Calibri" w:hAnsi="Calibri"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2C3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黑体"/>
      <w:sz w:val="18"/>
      <w:szCs w:val="18"/>
    </w:rPr>
  </w:style>
  <w:style w:type="paragraph" w:styleId="Header">
    <w:name w:val="header"/>
    <w:basedOn w:val="Normal"/>
    <w:link w:val="HeaderChar"/>
    <w:uiPriority w:val="99"/>
    <w:rsid w:val="001A2C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黑体"/>
      <w:sz w:val="18"/>
      <w:szCs w:val="18"/>
    </w:rPr>
  </w:style>
  <w:style w:type="paragraph" w:styleId="BalloonText">
    <w:name w:val="Balloon Text"/>
    <w:basedOn w:val="Normal"/>
    <w:link w:val="BalloonTextChar"/>
    <w:uiPriority w:val="99"/>
    <w:semiHidden/>
    <w:rsid w:val="00EF64B1"/>
    <w:rPr>
      <w:sz w:val="18"/>
      <w:szCs w:val="18"/>
    </w:rPr>
  </w:style>
  <w:style w:type="character" w:customStyle="1" w:styleId="BalloonTextChar">
    <w:name w:val="Balloon Text Char"/>
    <w:basedOn w:val="DefaultParagraphFont"/>
    <w:link w:val="BalloonText"/>
    <w:uiPriority w:val="99"/>
    <w:semiHidden/>
    <w:locked/>
    <w:rPr>
      <w:rFonts w:ascii="Calibri" w:hAnsi="Calibri" w:cs="黑体"/>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7</Pages>
  <Words>447</Words>
  <Characters>2549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2017年度河南省政府决策研究招标</dc:title>
  <dc:subject/>
  <dc:creator>lenovo</dc:creator>
  <cp:keywords/>
  <dc:description/>
  <cp:lastModifiedBy>lenovo</cp:lastModifiedBy>
  <cp:revision>6</cp:revision>
  <cp:lastPrinted>2017-06-19T03:34:00Z</cp:lastPrinted>
  <dcterms:created xsi:type="dcterms:W3CDTF">2017-06-15T04:33:00Z</dcterms:created>
  <dcterms:modified xsi:type="dcterms:W3CDTF">2017-06-19T05:45:00Z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